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九</w:t>
      </w:r>
      <w:r>
        <w:rPr>
          <w:rFonts w:hint="eastAsia" w:ascii="黑体" w:hAnsi="黑体" w:eastAsia="黑体"/>
          <w:sz w:val="44"/>
          <w:szCs w:val="44"/>
        </w:rPr>
        <w:t>届中国创新创业大赛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四川赛区决赛通知</w:t>
      </w:r>
    </w:p>
    <w:p/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一、时间及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地点</w:t>
      </w:r>
    </w:p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（一）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_GB2312"/>
          <w:bCs/>
          <w:sz w:val="32"/>
          <w:szCs w:val="32"/>
        </w:rPr>
        <w:t>时间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：</w:t>
      </w:r>
    </w:p>
    <w:p>
      <w:pPr>
        <w:pStyle w:val="6"/>
        <w:widowControl/>
        <w:shd w:val="clear" w:color="auto" w:fill="FFFFFF"/>
        <w:spacing w:line="360" w:lineRule="auto"/>
        <w:ind w:firstLine="960" w:firstLineChars="300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日-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widowControl/>
        <w:shd w:val="clear" w:color="auto" w:fill="FFFFFF"/>
        <w:spacing w:line="360" w:lineRule="auto"/>
        <w:ind w:firstLine="960" w:firstLineChars="300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上午  9:00--12:00</w:t>
      </w:r>
    </w:p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  下午  13:00--17:30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360" w:lineRule="auto"/>
        <w:ind w:firstLine="0"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比</w:t>
      </w:r>
      <w:r>
        <w:rPr>
          <w:rFonts w:ascii="仿宋" w:hAnsi="仿宋" w:eastAsia="仿宋"/>
          <w:sz w:val="32"/>
          <w:szCs w:val="32"/>
        </w:rPr>
        <w:t>赛地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成都高新区交子大道中海国际中心D座科技金融大厦26楼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路演厅</w:t>
      </w:r>
      <w:r>
        <w:rPr>
          <w:rFonts w:hint="eastAsia" w:ascii="仿宋" w:hAnsi="仿宋" w:eastAsia="仿宋" w:cs="仿宋"/>
          <w:sz w:val="32"/>
          <w:szCs w:val="32"/>
        </w:rPr>
        <w:t>（地铁1号线金融城站，沿交子大道前行800米，悠方对面）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360" w:lineRule="auto"/>
        <w:ind w:firstLine="0"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比赛场次安排：</w:t>
      </w:r>
    </w:p>
    <w:tbl>
      <w:tblPr>
        <w:tblStyle w:val="3"/>
        <w:tblW w:w="9207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08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75" w:type="dxa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082" w:type="dxa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550" w:type="dxa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9月7日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决赛开幕式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新一代信息技术产业一组（新兴软件和新型信息服务、电子核心产业）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9月8日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新能源汽车、新能源、节能环保产业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9月9日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生物产业一组(生物农业及相关产业、其他生物产业)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9月10日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新材料产业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9月11日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新一代信息技术产业二组（人工智能、下一代信息网络产业）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9月14日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生物产业二组（生物医药产业、生物医学工程产业）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9月15日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高端装备制造产业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9月16日</w:t>
            </w:r>
          </w:p>
        </w:tc>
        <w:tc>
          <w:tcPr>
            <w:tcW w:w="5082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新一代信息技术产业三组（互联网与云计算、大数据服务）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决赛闭幕式及首届金沙汇创业大赛颁奖</w:t>
            </w:r>
          </w:p>
        </w:tc>
        <w:tc>
          <w:tcPr>
            <w:tcW w:w="2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初创组、成长组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Times New Roman"/>
          <w:sz w:val="32"/>
          <w:szCs w:val="32"/>
        </w:rPr>
        <w:t>赛形式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（一）采用8+7现场答辩模式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Times New Roman"/>
          <w:sz w:val="32"/>
          <w:szCs w:val="32"/>
        </w:rPr>
        <w:t>公开路演，参赛选手陈述8分钟，评委提问7分钟。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（二）每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Times New Roman"/>
          <w:sz w:val="32"/>
          <w:szCs w:val="32"/>
        </w:rPr>
        <w:t>参赛选手将接受5位评委现场评分，5位评委分数平均分（小数后保留2位）为参赛选手最终得分，并现场公布最终得分。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每组赛事在当天比赛结束后公布所有参赛者的得分及排名情况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）本场赛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事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将在深交所的中国高新区科技金融信息服务平台进行现场网络直播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或录播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sz w:val="32"/>
          <w:szCs w:val="32"/>
        </w:rPr>
        <w:t>参赛须知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（一）参赛回执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Times New Roman"/>
          <w:sz w:val="32"/>
          <w:szCs w:val="32"/>
        </w:rPr>
        <w:t>企业必须填写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参赛回执</w:t>
      </w:r>
      <w:r>
        <w:rPr>
          <w:rFonts w:hint="eastAsia" w:ascii="仿宋" w:hAnsi="仿宋" w:eastAsia="仿宋" w:cs="Times New Roman"/>
          <w:sz w:val="32"/>
          <w:szCs w:val="32"/>
        </w:rPr>
        <w:t>，确认参赛或退赛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于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前发送至组委会邮箱：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instrText xml:space="preserve"> HYPERLINK "mailto:SCSQZWH@163.com" </w:instrTex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Times New Roman"/>
          <w:b w:val="0"/>
          <w:bCs/>
          <w:sz w:val="32"/>
          <w:szCs w:val="32"/>
        </w:rPr>
        <w:t>SCSQZWH@163.com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  <w:t>如果退赛，必须附退赛申请，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加盖公章以PDF文件格式一并发送至组委会邮箱。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参赛选手</w:t>
      </w:r>
      <w:r>
        <w:rPr>
          <w:rFonts w:hint="eastAsia" w:ascii="仿宋" w:hAnsi="仿宋" w:eastAsia="仿宋" w:cs="Times New Roman"/>
          <w:sz w:val="32"/>
          <w:szCs w:val="32"/>
        </w:rPr>
        <w:t>须为企业负责人或合伙人，如遇特殊情况不能参加，可委托团队核心成员参加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每家企业除参赛选手外，还可配1-2名助手。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（三）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参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赛资料: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路演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PPT（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显示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比例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16:9</w:t>
      </w:r>
      <w:r>
        <w:rPr>
          <w:rFonts w:ascii="仿宋" w:hAnsi="仿宋" w:eastAsia="仿宋" w:cs="Times New Roman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于2020年9月4日中午12：00前发送到组委会邮箱：shengchanli508@163.com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（四）道具：参赛企业在条件允许的情况下，可携带项目产品或与项目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相</w:t>
      </w:r>
      <w:r>
        <w:rPr>
          <w:rFonts w:hint="eastAsia" w:ascii="仿宋" w:hAnsi="仿宋" w:eastAsia="仿宋" w:cs="Times New Roman"/>
          <w:sz w:val="32"/>
          <w:szCs w:val="32"/>
        </w:rPr>
        <w:t>关的道具及部件，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由助手协助在赛场展示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答辩结束后务必将产品、道具及部件全部带离现场。如有特殊设计的道具，参赛企业请提前与组委会沟通。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组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委会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联系方式</w:t>
      </w:r>
    </w:p>
    <w:p>
      <w:pPr>
        <w:pStyle w:val="7"/>
        <w:spacing w:before="0" w:beforeAutospacing="0" w:after="0" w:afterAutospacing="0" w:line="360" w:lineRule="auto"/>
        <w:ind w:firstLine="64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薛  涵    13708058453</w:t>
      </w:r>
    </w:p>
    <w:p>
      <w:pPr>
        <w:pStyle w:val="7"/>
        <w:spacing w:before="0" w:beforeAutospacing="0" w:after="0" w:afterAutospacing="0" w:line="360" w:lineRule="auto"/>
        <w:ind w:firstLine="640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黄乙洋    18113132279</w:t>
      </w:r>
    </w:p>
    <w:p>
      <w:pPr>
        <w:pStyle w:val="7"/>
        <w:spacing w:before="0" w:beforeAutospacing="0" w:after="0" w:afterAutospacing="0" w:line="360" w:lineRule="auto"/>
        <w:ind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岳  钧    13708192129</w:t>
      </w:r>
    </w:p>
    <w:p>
      <w:pPr>
        <w:pStyle w:val="7"/>
        <w:spacing w:before="0" w:beforeAutospacing="0" w:after="0" w:afterAutospacing="0" w:line="360" w:lineRule="auto"/>
        <w:ind w:left="960" w:hanging="960" w:hangingChars="300"/>
        <w:rPr>
          <w:rFonts w:hint="eastAsia" w:ascii="仿宋" w:hAnsi="仿宋" w:eastAsia="仿宋"/>
          <w:sz w:val="32"/>
          <w:szCs w:val="44"/>
        </w:rPr>
      </w:pPr>
    </w:p>
    <w:p>
      <w:pPr>
        <w:pStyle w:val="7"/>
        <w:spacing w:before="0" w:beforeAutospacing="0" w:after="0" w:afterAutospacing="0" w:line="360" w:lineRule="auto"/>
        <w:ind w:left="960" w:hanging="960" w:hangingChars="3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附件：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44"/>
        </w:rPr>
        <w:t>第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44"/>
        </w:rPr>
        <w:t>届中国创新创业大赛四川赛区决赛参赛回执</w:t>
      </w:r>
    </w:p>
    <w:p>
      <w:pPr>
        <w:pStyle w:val="7"/>
        <w:spacing w:before="0" w:beforeAutospacing="0" w:after="0" w:afterAutospacing="0" w:line="360" w:lineRule="auto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2.参赛企业出场顺序</w:t>
      </w:r>
    </w:p>
    <w:p>
      <w:pPr>
        <w:pStyle w:val="7"/>
        <w:spacing w:before="0" w:beforeAutospacing="0" w:after="0" w:afterAutospacing="0" w:line="360" w:lineRule="auto"/>
        <w:ind w:firstLine="3200" w:firstLineChars="1000"/>
        <w:rPr>
          <w:rFonts w:hint="eastAsia" w:ascii="仿宋_GB2312" w:eastAsia="仿宋_GB2312"/>
          <w:sz w:val="32"/>
          <w:szCs w:val="32"/>
        </w:rPr>
      </w:pPr>
    </w:p>
    <w:p>
      <w:pPr>
        <w:pStyle w:val="7"/>
        <w:spacing w:before="0" w:beforeAutospacing="0" w:after="0" w:afterAutospacing="0" w:line="360" w:lineRule="auto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中国创新创业大赛四川赛区组委会</w:t>
      </w:r>
    </w:p>
    <w:p>
      <w:pPr>
        <w:spacing w:beforeLines="50" w:afterLines="100"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  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beforeLines="50" w:afterLines="100"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届中国创新创业大赛四川赛区决赛</w:t>
      </w:r>
    </w:p>
    <w:p>
      <w:pPr>
        <w:spacing w:line="360" w:lineRule="auto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参赛回执</w:t>
      </w:r>
    </w:p>
    <w:tbl>
      <w:tblPr>
        <w:tblStyle w:val="3"/>
        <w:tblpPr w:leftFromText="180" w:rightFromText="180" w:vertAnchor="text" w:horzAnchor="margin" w:tblpXSpec="center" w:tblpY="1022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410"/>
        <w:gridCol w:w="3"/>
        <w:gridCol w:w="283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08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企业名称</w:t>
            </w:r>
          </w:p>
        </w:tc>
        <w:tc>
          <w:tcPr>
            <w:tcW w:w="7371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085" w:type="dxa"/>
            <w:gridSpan w:val="2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  <w:lang w:val="en-US" w:eastAsia="zh-CN"/>
              </w:rPr>
              <w:t>参赛产业</w:t>
            </w:r>
          </w:p>
        </w:tc>
        <w:tc>
          <w:tcPr>
            <w:tcW w:w="2413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  <w:lang w:val="en-US" w:eastAsia="zh-CN"/>
              </w:rPr>
              <w:t>成长组/初创组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参赛或退赛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  <w:lang w:val="en-US" w:eastAsia="zh-CN"/>
              </w:rPr>
              <w:t>退赛原因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答辩人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观摩团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pacing w:beforeLines="50" w:afterLines="100"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参赛企业出场顺序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2020年9月7日</w:t>
      </w:r>
    </w:p>
    <w:p>
      <w:pP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新一代信息技术产业一组（新兴软件和新型信息服务、电子核心产业）</w:t>
      </w: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25" w:type="dxa"/>
        <w:tblInd w:w="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3993"/>
        <w:gridCol w:w="27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出场顺序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宜宾雄宜科技有限公司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四川青米科技有限公司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成都智数医联科技有限公司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爱医智慧医疗科技成都有限公司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四川久远创联信息技术有限公司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四川六方钰成电子科技有限公司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288" w:type="dxa"/>
        <w:tblInd w:w="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4012"/>
        <w:gridCol w:w="27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出场顺序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基腾（成都）科技有限公司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四川众力佳华信息技术有限公司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成都铱通科技有限公司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四川华瓷科技有限公司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成都明途科技有限公司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四川京航天程科技发展有限公司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四川中索汇智信息技术有限公司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成都天衡智造科技有限公司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四川中科川信科技有限公司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2020年9月8日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新能源汽车产业、新能源产业、节能环保产业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06" w:type="dxa"/>
        <w:tblInd w:w="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3975"/>
        <w:gridCol w:w="28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四川恒能渔业有限公司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威远顺欣机械设备制造有限公司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绵阳力王新能源科技有限公司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绵阳市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德阳杰化农业科学技术研究有限公司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325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937"/>
        <w:gridCol w:w="2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四川海纳仁东科技有限公司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四川耐德尔节能门窗有限公司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攀枝花鑫华节能技术服务有限公司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宜宾丰川动力科技有限公司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成都秋道科技有限公司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绵阳旭立辰科技有限公司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乐山市益洁环保科技有限公司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四川意德康环保科技有限公司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四川新新气体技术开发有限公司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内江稼钰生物科技有限公司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四川能宝电源制造有限公司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遂宁市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2020年9月9日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生物产业一组 (生物农业及相关产业、其他生物产业)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44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957"/>
        <w:gridCol w:w="28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四川庆琳农业技术开发有限公司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内江市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攀枝花藻润生物技术有限公司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攀枝花市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乐至县禾光牛牛乡村旅游服务有限公司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资阳市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344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957"/>
        <w:gridCol w:w="2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遂宁新欣瑞合农业有限公司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遂宁市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米易县兴鹏生物工程有限责任公司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攀枝花市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屏山县菜多多食品有限公司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宜宾荣盛农业发展有限公司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四川合晟四品生物科技有限责任公司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四川省茶马古道生物科技有限公司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四川鑫鑫骄扬生物科技有限公司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乐山市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四川黑金椹阳光农业有限公司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攀枝花市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泸州精圣酒业有限公司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泸州市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宜宾似锦园林有限公司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宜宾市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2020年9月10日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新材料产业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25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4031"/>
        <w:gridCol w:w="27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四川合联玄武岩纤维科技有限责任公司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广安市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德阳全息材料科技有限公司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德阳市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四川芯辰光微纳科技有限公司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四川长晏科技有限公司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绵阳市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四川睿鸿星应用技术研究有限公司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343" w:type="dxa"/>
        <w:tblInd w:w="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993"/>
        <w:gridCol w:w="2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四川兴荣科科技有限公司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眉山市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四川千然科技有限公司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广汉市福客科技有限公司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成都多吉昌新材料股份有限公司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四川中科微纳科技有限公司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内江市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四川吉瑞德新能源材料有限公司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眉山市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遂宁市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四川峰邦消防科技有限公司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四川合一电气科技有限公司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内江市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遂宁森帝汽配制造有限责任公司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遂宁市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2020年9月11日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新一代信息技术产业二组 （人工智能、下一代信息网络产业）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288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4012"/>
        <w:gridCol w:w="2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成都时识科技有限公司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中瓴智行（成都）科技有限公司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成都多普勒科技有限公司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四川微盾智能科技有限公司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成都链讯信息技术有限公司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</w:tbl>
    <w:p>
      <w:pPr>
        <w:rPr>
          <w:rFonts w:hint="default" w:ascii="仿宋" w:hAnsi="仿宋" w:eastAsia="仿宋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288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4031"/>
        <w:gridCol w:w="27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成都易瞳科技有限公司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宜宾中兴网信科技有限公司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成都吉纬科技有限公司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高县悠然柠檬开发有限公司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四川志文网络工程有限公司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泸州市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第六镜科技（成都）有限公司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成都普泰升科技股份有限公司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四川省派瑞克斯光电科技有限公司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遂宁市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罗江久华信信息技术有限公司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德阳市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成都东方天呈智能科技有限公司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深兰人工智能（四川）有限公司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德阳市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成都永奉科技有限公司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2020年9月14日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生物产业二组 （生物医药产业、生物医学工程产业）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44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956"/>
        <w:gridCol w:w="2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成都仁域生物技术有限公司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四川百喜特医疗器械有限公司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资阳市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成都海博为药业有限公司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四川博康达智能电子系统有限公司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内江市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344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3975"/>
        <w:gridCol w:w="2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成都千麦医学检验所有限公司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四川康德赛医疗科技有限公司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四川省菲娅医疗器械有限公司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资阳市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四川高润德生物技术有限公司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成都斯马特科技有限公司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成都华西珐玛生物科技有限公司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成都思多科医疗科技有限公司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四川贝利福医疗器械有限公司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资阳市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成都微康生物科技有限公司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成都齐碳科技有限公司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成都艾伟孚生物科技有限公司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成都迈德克科技有限公司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成都真实维度科技有限公司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四川群丰生物科技有限公司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泸州市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2020年9月15日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高端装备制造产业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07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975"/>
        <w:gridCol w:w="27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四川一电航空技术有限公司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内江砼创科技有限公司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内江市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四川马扎克智能科技有限公司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南充市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宜宾轩驰智能科技有限公司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宜宾市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四川署信驱动科技有限公司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四川伟博震源科技有限公司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绵阳市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325" w:type="dxa"/>
        <w:tblInd w:w="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4012"/>
        <w:gridCol w:w="2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四川省晨田机床制造有限公司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内江市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攀枝花驰瑞矿冶科技有限公司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攀枝花市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创想智控科技（成都）有限公司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四川格斯拉科技有限公司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绵阳市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康硕（德阳）智能制造有限公司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德阳市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中固维科（成都）动力技术有限公司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四川奥达测控装置有限公司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内江市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四川省川胜电缆有限公司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遂宁市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成都驰图科技有限公司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40"/>
          <w:szCs w:val="40"/>
          <w:lang w:val="en-US" w:eastAsia="zh-CN"/>
        </w:rPr>
        <w:t>2020年9月16日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新一代信息技术产业三组 （互联网与云计算、大数据服务）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初创组</w:t>
      </w:r>
    </w:p>
    <w:tbl>
      <w:tblPr>
        <w:tblStyle w:val="2"/>
        <w:tblW w:w="8306" w:type="dxa"/>
        <w:tblInd w:w="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975"/>
        <w:gridCol w:w="27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成都耐视特科技有限公司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内江瀚海智行科技有限公司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四川厚度旅行科技有限公司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成长组</w:t>
      </w:r>
    </w:p>
    <w:tbl>
      <w:tblPr>
        <w:tblStyle w:val="2"/>
        <w:tblW w:w="8288" w:type="dxa"/>
        <w:tblInd w:w="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993"/>
        <w:gridCol w:w="2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出场顺序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企业名称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行政区域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四川宜米多科技有限公司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成都国星宇航科技有限公司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四川谛达诺科技有限公司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四川盘谷智慧医疗科技有限公司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成都中创五联科技有限公司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四川科库科技有限公司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乐山市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成都市高博汇科信息科技有限公司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四川牙易在线网络科技有限公司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四川九洲视讯科技有限责任公司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绵阳市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成都嘉捷信诚信息技术有限公司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成都市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四川妥妥递科技有限公司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</w:tr>
    </w:tbl>
    <w:p>
      <w:pPr>
        <w:spacing w:beforeLines="50" w:afterLines="100"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CA543"/>
    <w:multiLevelType w:val="singleLevel"/>
    <w:tmpl w:val="C12CA5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22D2"/>
    <w:rsid w:val="076522D2"/>
    <w:rsid w:val="13493105"/>
    <w:rsid w:val="487358BF"/>
    <w:rsid w:val="579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2020-09-02T03:29:00Z</dcterms:created>
  <dc:creator>海棠影下1406865243</dc:creator>
  <cp:lastModifiedBy>海棠影下1406865243</cp:lastModifiedBy>
  <dcterms:modified xsi:type="dcterms:W3CDTF">2020-09-02T09:13:51Z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